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9" w:rsidRPr="002C0C49" w:rsidRDefault="002C0C49" w:rsidP="002C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C49">
        <w:rPr>
          <w:rFonts w:ascii="Times New Roman" w:hAnsi="Times New Roman" w:cs="Times New Roman"/>
          <w:b/>
          <w:sz w:val="24"/>
          <w:szCs w:val="24"/>
        </w:rPr>
        <w:t>2.4.  Результаты по химии</w:t>
      </w:r>
    </w:p>
    <w:p w:rsidR="002C0C49" w:rsidRPr="002C0C49" w:rsidRDefault="002C0C49" w:rsidP="002C0C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0C49">
        <w:rPr>
          <w:rFonts w:ascii="Times New Roman" w:hAnsi="Times New Roman" w:cs="Times New Roman"/>
          <w:i/>
          <w:sz w:val="24"/>
          <w:szCs w:val="24"/>
        </w:rPr>
        <w:t xml:space="preserve"> Таблица 13 </w:t>
      </w:r>
    </w:p>
    <w:tbl>
      <w:tblPr>
        <w:tblW w:w="10005" w:type="dxa"/>
        <w:jc w:val="center"/>
        <w:tblLook w:val="04A0"/>
      </w:tblPr>
      <w:tblGrid>
        <w:gridCol w:w="540"/>
        <w:gridCol w:w="683"/>
        <w:gridCol w:w="2356"/>
        <w:gridCol w:w="576"/>
        <w:gridCol w:w="576"/>
        <w:gridCol w:w="756"/>
        <w:gridCol w:w="506"/>
        <w:gridCol w:w="1168"/>
        <w:gridCol w:w="1134"/>
        <w:gridCol w:w="1074"/>
        <w:gridCol w:w="636"/>
      </w:tblGrid>
      <w:tr w:rsidR="002C0C49" w:rsidRPr="002C0C49" w:rsidTr="002C0C49">
        <w:trPr>
          <w:trHeight w:val="9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АТЕ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экзаменуемых</w:t>
            </w:r>
            <w:proofErr w:type="gram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сдавших</w:t>
            </w:r>
            <w:proofErr w:type="gramEnd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сдавших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не </w:t>
            </w:r>
            <w:proofErr w:type="gram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сдавших</w:t>
            </w:r>
            <w:proofErr w:type="gramEnd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АТЕ</w:t>
            </w:r>
          </w:p>
        </w:tc>
      </w:tr>
      <w:tr w:rsidR="002C0C49" w:rsidRPr="002C0C49" w:rsidTr="002C0C49">
        <w:trPr>
          <w:trHeight w:val="103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соответ-ствия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повыше-ния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пониже-ния</w:t>
            </w:r>
            <w:proofErr w:type="spellEnd"/>
            <w:proofErr w:type="gramEnd"/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C49" w:rsidRPr="002C0C49" w:rsidTr="002C0C49">
        <w:trPr>
          <w:trHeight w:val="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Алгайский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2C0C49" w:rsidRPr="002C0C49" w:rsidTr="002C0C49">
        <w:trPr>
          <w:trHeight w:val="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2C0C49" w:rsidRPr="002C0C49" w:rsidTr="002C0C49">
        <w:trPr>
          <w:trHeight w:val="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2C0C49" w:rsidRPr="002C0C49" w:rsidTr="002C0C49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Базарно-Карабулакский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</w:tr>
      <w:tr w:rsidR="002C0C49" w:rsidRPr="002C0C49" w:rsidTr="002C0C49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Дергачёвский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Шиханы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Светлый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р-н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Волжский р-н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Фрунзенский</w:t>
            </w:r>
            <w:proofErr w:type="spellEnd"/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р-н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р-н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Заводской р-н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2C0C49" w:rsidRPr="002C0C49" w:rsidTr="002C0C4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ГОУ, НОУ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49" w:rsidRPr="002C0C49" w:rsidRDefault="002C0C49" w:rsidP="002C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</w:tbl>
    <w:p w:rsidR="002C0C49" w:rsidRPr="002C0C49" w:rsidRDefault="002C0C49" w:rsidP="002C0C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0C49" w:rsidRPr="002C0C49" w:rsidRDefault="002C0C49" w:rsidP="002C0C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4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государственной (итоговой) аттестации </w:t>
      </w:r>
      <w:r w:rsidRPr="002C0C49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2C0C4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независимой форме средний балл в области по химии составил 66</w:t>
      </w:r>
      <w:r w:rsidRPr="002C0C49">
        <w:rPr>
          <w:rFonts w:ascii="Times New Roman" w:hAnsi="Times New Roman" w:cs="Times New Roman"/>
          <w:sz w:val="24"/>
          <w:szCs w:val="24"/>
        </w:rPr>
        <w:t>,6. В сравнении с результатами 2011 года он повысился на 3,9 балла.</w:t>
      </w:r>
      <w:r w:rsidRPr="002C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C49" w:rsidRPr="002C0C49" w:rsidRDefault="002C0C49" w:rsidP="002C0C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0C49">
        <w:rPr>
          <w:rFonts w:ascii="Times New Roman" w:hAnsi="Times New Roman" w:cs="Times New Roman"/>
          <w:color w:val="000000"/>
          <w:sz w:val="24"/>
          <w:szCs w:val="24"/>
        </w:rPr>
        <w:t xml:space="preserve">В территориальном разрезе лучшие результаты по среднему баллу по химии в общеобразовательных учреждениях </w:t>
      </w:r>
      <w:proofErr w:type="gramStart"/>
      <w:r w:rsidRPr="002C0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C0C49">
        <w:rPr>
          <w:rFonts w:ascii="Times New Roman" w:hAnsi="Times New Roman" w:cs="Times New Roman"/>
          <w:color w:val="000000"/>
          <w:sz w:val="24"/>
          <w:szCs w:val="24"/>
        </w:rPr>
        <w:t>. Саратова (83,1</w:t>
      </w:r>
      <w:r w:rsidRPr="002C0C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C0C49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2C0C49">
        <w:rPr>
          <w:rFonts w:ascii="Times New Roman" w:hAnsi="Times New Roman" w:cs="Times New Roman"/>
          <w:sz w:val="24"/>
          <w:szCs w:val="24"/>
        </w:rPr>
        <w:t xml:space="preserve"> (82,1) и </w:t>
      </w:r>
      <w:proofErr w:type="spellStart"/>
      <w:r w:rsidRPr="002C0C49"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 w:rsidRPr="002C0C49">
        <w:rPr>
          <w:rFonts w:ascii="Times New Roman" w:hAnsi="Times New Roman" w:cs="Times New Roman"/>
          <w:sz w:val="24"/>
          <w:szCs w:val="24"/>
        </w:rPr>
        <w:t xml:space="preserve"> (77,7) районов.</w:t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2C0C49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152515" cy="4359275"/>
            <wp:effectExtent l="19050" t="0" r="19685" b="3175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0C4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Рис. 13</w:t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C49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270553" cy="2626157"/>
            <wp:effectExtent l="19050" t="0" r="15697" b="2743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C49">
        <w:rPr>
          <w:rFonts w:ascii="Times New Roman" w:hAnsi="Times New Roman" w:cs="Times New Roman"/>
          <w:b/>
          <w:i/>
          <w:sz w:val="24"/>
          <w:szCs w:val="24"/>
        </w:rPr>
        <w:t>Рис. 14</w:t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C49" w:rsidRPr="002C0C49" w:rsidRDefault="002C0C49" w:rsidP="002C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49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значение среднего балла в общеобразовательных учреждениях </w:t>
      </w:r>
      <w:proofErr w:type="spellStart"/>
      <w:r w:rsidRPr="002C0C49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2C0C49">
        <w:rPr>
          <w:rFonts w:ascii="Times New Roman" w:hAnsi="Times New Roman" w:cs="Times New Roman"/>
          <w:sz w:val="24"/>
          <w:szCs w:val="24"/>
        </w:rPr>
        <w:t xml:space="preserve"> района – 49 баллов. </w:t>
      </w:r>
    </w:p>
    <w:p w:rsidR="002C0C49" w:rsidRPr="002C0C49" w:rsidRDefault="002C0C49" w:rsidP="002C0C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C49">
        <w:rPr>
          <w:rFonts w:ascii="Times New Roman" w:hAnsi="Times New Roman" w:cs="Times New Roman"/>
          <w:sz w:val="24"/>
          <w:szCs w:val="24"/>
        </w:rPr>
        <w:t xml:space="preserve">Наиболее высокий процент (более 60%) соответствия итоговых оценок и результатов независимой аттестации (при статистически значимом количестве участников) у выпускников одиннадцати АТЕ. Менее 40% оценок совпали в ОУ Духовницкого, </w:t>
      </w:r>
      <w:proofErr w:type="spellStart"/>
      <w:r w:rsidRPr="002C0C49"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 w:rsidRPr="002C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C49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2C0C49">
        <w:rPr>
          <w:rFonts w:ascii="Times New Roman" w:hAnsi="Times New Roman" w:cs="Times New Roman"/>
          <w:sz w:val="24"/>
          <w:szCs w:val="24"/>
        </w:rPr>
        <w:t>, Ленинского, Заводского районов. При этом</w:t>
      </w:r>
      <w:proofErr w:type="gramStart"/>
      <w:r w:rsidRPr="002C0C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C49">
        <w:rPr>
          <w:rFonts w:ascii="Times New Roman" w:hAnsi="Times New Roman" w:cs="Times New Roman"/>
          <w:sz w:val="24"/>
          <w:szCs w:val="24"/>
        </w:rPr>
        <w:t xml:space="preserve"> в 16 АТЕ  процент экзаменационных оценок ниже годовых больше, чем тех, что были повышены в ходе экзамена. </w:t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C4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895850" cy="3286125"/>
            <wp:effectExtent l="19050" t="0" r="19050" b="0"/>
            <wp:docPr id="2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C49">
        <w:rPr>
          <w:rFonts w:ascii="Times New Roman" w:hAnsi="Times New Roman" w:cs="Times New Roman"/>
          <w:b/>
          <w:i/>
          <w:sz w:val="24"/>
          <w:szCs w:val="24"/>
        </w:rPr>
        <w:t>Рис. 15</w:t>
      </w:r>
    </w:p>
    <w:p w:rsidR="002C0C49" w:rsidRPr="002C0C49" w:rsidRDefault="002C0C49" w:rsidP="002C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C49" w:rsidRPr="002C0C49" w:rsidRDefault="002C0C49" w:rsidP="002C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49">
        <w:rPr>
          <w:rFonts w:ascii="Times New Roman" w:hAnsi="Times New Roman" w:cs="Times New Roman"/>
          <w:sz w:val="24"/>
          <w:szCs w:val="24"/>
        </w:rPr>
        <w:t>Количественное соотношение оценок представлено на рис. 14 . Качество знаний по химии составляет 75,7%  (в 2010 г. –64%; в 2011 г. – 70,1%), успеваемость - 99,5% (в  2011 г. – 99,9%; в 2011 г. – 98,7%).</w:t>
      </w:r>
    </w:p>
    <w:p w:rsidR="00162A06" w:rsidRPr="002C0C49" w:rsidRDefault="00162A06" w:rsidP="002C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A06" w:rsidRPr="002C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C49"/>
    <w:rsid w:val="00162A06"/>
    <w:rsid w:val="002C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01-MyDesktop\&#1086;&#1090;&#1095;&#1077;&#1090;%20&#1075;&#1080;&#1072;%20&#1088;&#1072;&#1073;\&#1088;&#1080;&#1089;&#1091;&#1085;&#1082;&#1080;%20&#1080;%20&#1090;&#1072;&#1083;&#1073;&#1080;&#1094;&#1099;%20&#1082;%20&#1086;&#1090;&#1095;&#1077;&#1090;&#1091;%20&#1043;&#1048;&#104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01-MyDesktop\&#1086;&#1090;&#1095;&#1077;&#1090;%20&#1075;&#1080;&#1072;%20&#1088;&#1072;&#1073;\&#1088;&#1080;&#1089;&#1091;&#1085;&#1082;&#1080;%20&#1080;%20&#1090;&#1072;&#1083;&#1073;&#1080;&#1094;&#1099;%20&#1082;%20&#1086;&#1090;&#1095;&#1077;&#1090;&#1091;%20&#1043;&#1048;&#104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01-MyDesktop\&#1086;&#1090;&#1095;&#1077;&#1090;%20&#1075;&#1080;&#1072;%20&#1088;&#1072;&#1073;\&#1088;&#1080;&#1089;&#1091;&#1085;&#1082;&#1080;%20&#1080;%20&#1090;&#1072;&#1083;&#1073;&#1080;&#1094;&#1099;%20&#1082;%20&#1086;&#1090;&#1095;&#1077;&#1090;&#1091;%20&#1043;&#1048;&#1040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Средний балл по АТЕ по   химии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664943807668026"/>
          <c:y val="2.49084320926515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'средний балл'!$A$159:$A$206</c:f>
              <c:strCache>
                <c:ptCount val="1"/>
                <c:pt idx="0">
                  <c:v>Алгайский Аркадакский Аткарский Базарно-Карабулакский Балаковский Балашовский Балтайский Вольский Воскресенский Дергачёвский Духовницкий Екатериновский Ершовский Ивантеевский Калининский Красноармейский Краснокутский Краснопартизанский Лысогорский Марксов</c:v>
                </c:pt>
              </c:strCache>
            </c:strRef>
          </c:tx>
          <c:spPr>
            <a:solidFill>
              <a:srgbClr val="FF3300"/>
            </a:solidFill>
            <a:ln>
              <a:solidFill>
                <a:schemeClr val="tx1"/>
              </a:solidFill>
            </a:ln>
          </c:spPr>
          <c:cat>
            <c:strRef>
              <c:f>'средний балл'!$A$159:$A$206</c:f>
              <c:strCache>
                <c:ptCount val="48"/>
                <c:pt idx="0">
                  <c:v>Алгайский</c:v>
                </c:pt>
                <c:pt idx="1">
                  <c:v>Аркадакский</c:v>
                </c:pt>
                <c:pt idx="2">
                  <c:v>Аткарский</c:v>
                </c:pt>
                <c:pt idx="3">
                  <c:v>Базарно-Карабулакский</c:v>
                </c:pt>
                <c:pt idx="4">
                  <c:v>Балаковский</c:v>
                </c:pt>
                <c:pt idx="5">
                  <c:v>Балашовский</c:v>
                </c:pt>
                <c:pt idx="6">
                  <c:v>Балтайский</c:v>
                </c:pt>
                <c:pt idx="7">
                  <c:v>Вольский</c:v>
                </c:pt>
                <c:pt idx="8">
                  <c:v>Воскресенский</c:v>
                </c:pt>
                <c:pt idx="9">
                  <c:v>Дергачёвский</c:v>
                </c:pt>
                <c:pt idx="10">
                  <c:v>Духовницкий</c:v>
                </c:pt>
                <c:pt idx="11">
                  <c:v>Екатериновский</c:v>
                </c:pt>
                <c:pt idx="12">
                  <c:v>Ершовский</c:v>
                </c:pt>
                <c:pt idx="13">
                  <c:v>Ивантеевский</c:v>
                </c:pt>
                <c:pt idx="14">
                  <c:v>Калининский</c:v>
                </c:pt>
                <c:pt idx="15">
                  <c:v>Красноармейский</c:v>
                </c:pt>
                <c:pt idx="16">
                  <c:v>Краснокутский</c:v>
                </c:pt>
                <c:pt idx="17">
                  <c:v>Краснопартизанский</c:v>
                </c:pt>
                <c:pt idx="18">
                  <c:v>Лысогорский</c:v>
                </c:pt>
                <c:pt idx="19">
                  <c:v>Марксовский</c:v>
                </c:pt>
                <c:pt idx="20">
                  <c:v>Новобурасский</c:v>
                </c:pt>
                <c:pt idx="21">
                  <c:v>Новоузенский</c:v>
                </c:pt>
                <c:pt idx="22">
                  <c:v>Озинский</c:v>
                </c:pt>
                <c:pt idx="23">
                  <c:v>Перелюбский</c:v>
                </c:pt>
                <c:pt idx="24">
                  <c:v>Петровский</c:v>
                </c:pt>
                <c:pt idx="25">
                  <c:v>Питерский</c:v>
                </c:pt>
                <c:pt idx="26">
                  <c:v>Пугачёвский</c:v>
                </c:pt>
                <c:pt idx="27">
                  <c:v>Ровенский</c:v>
                </c:pt>
                <c:pt idx="28">
                  <c:v>Романовский</c:v>
                </c:pt>
                <c:pt idx="29">
                  <c:v>Ртищевский</c:v>
                </c:pt>
                <c:pt idx="30">
                  <c:v>Самойловский</c:v>
                </c:pt>
                <c:pt idx="31">
                  <c:v>Саратовский</c:v>
                </c:pt>
                <c:pt idx="32">
                  <c:v>Советский</c:v>
                </c:pt>
                <c:pt idx="33">
                  <c:v>Татищевский</c:v>
                </c:pt>
                <c:pt idx="34">
                  <c:v>Турковский</c:v>
                </c:pt>
                <c:pt idx="35">
                  <c:v>Фёдоровский</c:v>
                </c:pt>
                <c:pt idx="36">
                  <c:v>Хвалынский</c:v>
                </c:pt>
                <c:pt idx="37">
                  <c:v>Энгельсский</c:v>
                </c:pt>
                <c:pt idx="38">
                  <c:v>ЗАТО Шиханы</c:v>
                </c:pt>
                <c:pt idx="39">
                  <c:v>ЗАТО Светлый</c:v>
                </c:pt>
                <c:pt idx="40">
                  <c:v>Саратов</c:v>
                </c:pt>
                <c:pt idx="41">
                  <c:v>Октябрьский р-н Саратов</c:v>
                </c:pt>
                <c:pt idx="42">
                  <c:v>Волжский р-н Саратов</c:v>
                </c:pt>
                <c:pt idx="43">
                  <c:v>Фрунзенский р-н Саратов</c:v>
                </c:pt>
                <c:pt idx="44">
                  <c:v>Кировский р-н Саратов</c:v>
                </c:pt>
                <c:pt idx="45">
                  <c:v>Ленинский р-н Саратов</c:v>
                </c:pt>
                <c:pt idx="46">
                  <c:v>Заводской р-н Саратов</c:v>
                </c:pt>
                <c:pt idx="47">
                  <c:v>ГОУ, НОУ </c:v>
                </c:pt>
              </c:strCache>
            </c:strRef>
          </c:cat>
          <c:val>
            <c:numRef>
              <c:f>'средний балл'!$B$159:$B$206</c:f>
              <c:numCache>
                <c:formatCode>0.0</c:formatCode>
                <c:ptCount val="48"/>
                <c:pt idx="0">
                  <c:v>67.798484848484577</c:v>
                </c:pt>
                <c:pt idx="1">
                  <c:v>64.921655580192436</c:v>
                </c:pt>
                <c:pt idx="2">
                  <c:v>77.716186252771678</c:v>
                </c:pt>
                <c:pt idx="3">
                  <c:v>69.904524699045623</c:v>
                </c:pt>
                <c:pt idx="4">
                  <c:v>64.562657139076308</c:v>
                </c:pt>
                <c:pt idx="5">
                  <c:v>69.650561559652488</c:v>
                </c:pt>
                <c:pt idx="6">
                  <c:v>77.301136363636289</c:v>
                </c:pt>
                <c:pt idx="7">
                  <c:v>67.846478025285919</c:v>
                </c:pt>
                <c:pt idx="8">
                  <c:v>56.930303030303023</c:v>
                </c:pt>
                <c:pt idx="9">
                  <c:v>69.467948717948715</c:v>
                </c:pt>
                <c:pt idx="10">
                  <c:v>69.421487603305792</c:v>
                </c:pt>
                <c:pt idx="11">
                  <c:v>67.948717948718027</c:v>
                </c:pt>
                <c:pt idx="12">
                  <c:v>57.902215431627205</c:v>
                </c:pt>
                <c:pt idx="13">
                  <c:v>71.320346320346289</c:v>
                </c:pt>
                <c:pt idx="14">
                  <c:v>53.811294765839996</c:v>
                </c:pt>
                <c:pt idx="15">
                  <c:v>75.077303648732297</c:v>
                </c:pt>
                <c:pt idx="16">
                  <c:v>61.276515151515163</c:v>
                </c:pt>
                <c:pt idx="17">
                  <c:v>48.989898989898975</c:v>
                </c:pt>
                <c:pt idx="18">
                  <c:v>59.958202716823422</c:v>
                </c:pt>
                <c:pt idx="19">
                  <c:v>60.224406224406231</c:v>
                </c:pt>
                <c:pt idx="20">
                  <c:v>54.528030303030313</c:v>
                </c:pt>
                <c:pt idx="21">
                  <c:v>74.572390572390347</c:v>
                </c:pt>
                <c:pt idx="22">
                  <c:v>67.482517482517494</c:v>
                </c:pt>
                <c:pt idx="23">
                  <c:v>69.848484848484574</c:v>
                </c:pt>
                <c:pt idx="24">
                  <c:v>70.748299319727863</c:v>
                </c:pt>
                <c:pt idx="25">
                  <c:v>77.503293807641612</c:v>
                </c:pt>
                <c:pt idx="26">
                  <c:v>62.546005509641844</c:v>
                </c:pt>
                <c:pt idx="27">
                  <c:v>62.285714285714285</c:v>
                </c:pt>
                <c:pt idx="28">
                  <c:v>71.515151515151459</c:v>
                </c:pt>
                <c:pt idx="29">
                  <c:v>68.773249738767007</c:v>
                </c:pt>
                <c:pt idx="30">
                  <c:v>61.910984848484858</c:v>
                </c:pt>
                <c:pt idx="31">
                  <c:v>72.150072150071821</c:v>
                </c:pt>
                <c:pt idx="32">
                  <c:v>55.642096642096625</c:v>
                </c:pt>
                <c:pt idx="33">
                  <c:v>58.231404958677601</c:v>
                </c:pt>
                <c:pt idx="34">
                  <c:v>82.134199134199108</c:v>
                </c:pt>
                <c:pt idx="35">
                  <c:v>56.173843700159487</c:v>
                </c:pt>
                <c:pt idx="36">
                  <c:v>73.618538324420328</c:v>
                </c:pt>
                <c:pt idx="37">
                  <c:v>64.475009838646088</c:v>
                </c:pt>
                <c:pt idx="38">
                  <c:v>66.666666666666671</c:v>
                </c:pt>
                <c:pt idx="39">
                  <c:v>52.525252525252505</c:v>
                </c:pt>
                <c:pt idx="40">
                  <c:v>83.078971533516651</c:v>
                </c:pt>
                <c:pt idx="41">
                  <c:v>68.458538877143368</c:v>
                </c:pt>
                <c:pt idx="42">
                  <c:v>61.202844774273295</c:v>
                </c:pt>
                <c:pt idx="43">
                  <c:v>60.7655502392345</c:v>
                </c:pt>
                <c:pt idx="44">
                  <c:v>57.917160737812864</c:v>
                </c:pt>
                <c:pt idx="45">
                  <c:v>70.82259845417731</c:v>
                </c:pt>
                <c:pt idx="46">
                  <c:v>73.099129593810616</c:v>
                </c:pt>
                <c:pt idx="47">
                  <c:v>72.800606060606071</c:v>
                </c:pt>
              </c:numCache>
            </c:numRef>
          </c:val>
        </c:ser>
        <c:axId val="56321920"/>
        <c:axId val="56323456"/>
      </c:barChart>
      <c:catAx>
        <c:axId val="5632192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323456"/>
        <c:crosses val="autoZero"/>
        <c:auto val="1"/>
        <c:lblAlgn val="ctr"/>
        <c:lblOffset val="100"/>
      </c:catAx>
      <c:valAx>
        <c:axId val="5632345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321920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 экзамена по химии</a:t>
            </a:r>
          </a:p>
        </c:rich>
      </c:tx>
    </c:title>
    <c:view3D>
      <c:rotX val="30"/>
      <c:rotY val="20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00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explosion val="2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Pos val="outEnd"/>
            <c:showVal val="1"/>
            <c:showLeaderLines val="1"/>
          </c:dLbls>
          <c:cat>
            <c:strRef>
              <c:f>'рез экз по '!$A$71:$A$74</c:f>
              <c:strCache>
                <c:ptCount val="4"/>
                <c:pt idx="0">
                  <c:v>5 (отлично)</c:v>
                </c:pt>
                <c:pt idx="1">
                  <c:v>4 (хорошо)</c:v>
                </c:pt>
                <c:pt idx="2">
                  <c:v>3 (удовлетворительно)</c:v>
                </c:pt>
                <c:pt idx="3">
                  <c:v>2 (неудовлетворительно)</c:v>
                </c:pt>
              </c:strCache>
            </c:strRef>
          </c:cat>
          <c:val>
            <c:numRef>
              <c:f>'рез экз по '!$B$71:$B$74</c:f>
              <c:numCache>
                <c:formatCode>0</c:formatCode>
                <c:ptCount val="4"/>
                <c:pt idx="0">
                  <c:v>779</c:v>
                </c:pt>
                <c:pt idx="1">
                  <c:v>1500</c:v>
                </c:pt>
                <c:pt idx="2">
                  <c:v>719</c:v>
                </c:pt>
                <c:pt idx="3">
                  <c:v>13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Изменение количества оценок (по пятибалльной шкале) </a:t>
            </a:r>
          </a:p>
          <a:p>
            <a:pPr algn="ctr"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 процентах  по химии</a:t>
            </a:r>
          </a:p>
        </c:rich>
      </c:tx>
      <c:layout>
        <c:manualLayout>
          <c:xMode val="edge"/>
          <c:yMode val="edge"/>
          <c:x val="0.1361370716510904"/>
          <c:y val="2.1798365122615852E-2"/>
        </c:manualLayout>
      </c:layout>
    </c:title>
    <c:plotArea>
      <c:layout>
        <c:manualLayout>
          <c:layoutTarget val="inner"/>
          <c:xMode val="edge"/>
          <c:yMode val="edge"/>
          <c:x val="6.4406622907862934E-2"/>
          <c:y val="0.21747697466180704"/>
          <c:w val="0.90074226130293811"/>
          <c:h val="0.6089199284872"/>
        </c:manualLayout>
      </c:layout>
      <c:barChart>
        <c:barDir val="bar"/>
        <c:grouping val="clustered"/>
        <c:ser>
          <c:idx val="0"/>
          <c:order val="0"/>
          <c:tx>
            <c:strRef>
              <c:f>'изм кол оц'!$A$95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ysClr val="windowText" lastClr="000000"/>
              </a:solidFill>
            </a:ln>
          </c:spPr>
          <c:cat>
            <c:strRef>
              <c:f>'изм кол оц'!$B$94:$E$94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'изм кол оц'!$B$95:$E$95</c:f>
              <c:numCache>
                <c:formatCode>General</c:formatCode>
                <c:ptCount val="4"/>
                <c:pt idx="0">
                  <c:v>1.3</c:v>
                </c:pt>
                <c:pt idx="1">
                  <c:v>34.700000000000003</c:v>
                </c:pt>
                <c:pt idx="2">
                  <c:v>47.7</c:v>
                </c:pt>
                <c:pt idx="3">
                  <c:v>16.3</c:v>
                </c:pt>
              </c:numCache>
            </c:numRef>
          </c:val>
        </c:ser>
        <c:ser>
          <c:idx val="1"/>
          <c:order val="1"/>
          <c:tx>
            <c:strRef>
              <c:f>'изм кол оц'!$A$96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cat>
            <c:strRef>
              <c:f>'изм кол оц'!$B$94:$E$94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'изм кол оц'!$B$96:$E$96</c:f>
              <c:numCache>
                <c:formatCode>General</c:formatCode>
                <c:ptCount val="4"/>
                <c:pt idx="0">
                  <c:v>0.1</c:v>
                </c:pt>
                <c:pt idx="1">
                  <c:v>29.8</c:v>
                </c:pt>
                <c:pt idx="2">
                  <c:v>50.4</c:v>
                </c:pt>
                <c:pt idx="3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'изм кол оц'!$A$97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cat>
            <c:strRef>
              <c:f>'изм кол оц'!$B$94:$E$94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'изм кол оц'!$B$97:$E$97</c:f>
              <c:numCache>
                <c:formatCode>0.0</c:formatCode>
                <c:ptCount val="4"/>
                <c:pt idx="0">
                  <c:v>0.4317502490866823</c:v>
                </c:pt>
                <c:pt idx="1">
                  <c:v>23.879109930255726</c:v>
                </c:pt>
                <c:pt idx="2">
                  <c:v>49.817336433078708</c:v>
                </c:pt>
                <c:pt idx="3">
                  <c:v>25.87180338757889</c:v>
                </c:pt>
              </c:numCache>
            </c:numRef>
          </c:val>
        </c:ser>
        <c:axId val="73056640"/>
        <c:axId val="73059328"/>
      </c:barChart>
      <c:catAx>
        <c:axId val="73056640"/>
        <c:scaling>
          <c:orientation val="minMax"/>
        </c:scaling>
        <c:axPos val="l"/>
        <c:tickLblPos val="nextTo"/>
        <c:crossAx val="73059328"/>
        <c:crosses val="autoZero"/>
        <c:auto val="1"/>
        <c:lblAlgn val="ctr"/>
        <c:lblOffset val="100"/>
      </c:catAx>
      <c:valAx>
        <c:axId val="73059328"/>
        <c:scaling>
          <c:orientation val="minMax"/>
        </c:scaling>
        <c:axPos val="b"/>
        <c:majorGridlines/>
        <c:numFmt formatCode="General" sourceLinked="1"/>
        <c:tickLblPos val="nextTo"/>
        <c:crossAx val="73056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801301101953738"/>
          <c:y val="0.93784381300163733"/>
          <c:w val="0.24698667968298421"/>
          <c:h val="3.8967781201262867E-2"/>
        </c:manualLayout>
      </c:layout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>Мой дом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2012-10-31T13:18:00Z</dcterms:created>
  <dcterms:modified xsi:type="dcterms:W3CDTF">2012-10-31T13:21:00Z</dcterms:modified>
</cp:coreProperties>
</file>